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A21" w14:textId="10172528" w:rsidR="00F84B45" w:rsidRPr="002A4E3E" w:rsidRDefault="00F84B45" w:rsidP="00F84B45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4E3E">
        <w:rPr>
          <w:rFonts w:ascii="Arial" w:eastAsia="Times New Roman" w:hAnsi="Arial" w:cs="Arial"/>
          <w:sz w:val="24"/>
          <w:szCs w:val="24"/>
        </w:rPr>
        <w:t>ΝΟΜΟ</w:t>
      </w:r>
      <w:r w:rsidR="007E5DD9">
        <w:rPr>
          <w:rFonts w:ascii="Arial" w:eastAsia="Times New Roman" w:hAnsi="Arial" w:cs="Arial"/>
          <w:sz w:val="24"/>
          <w:szCs w:val="24"/>
        </w:rPr>
        <w:t>Σ</w:t>
      </w:r>
      <w:r w:rsidRPr="002A4E3E">
        <w:rPr>
          <w:rFonts w:ascii="Arial" w:eastAsia="Times New Roman" w:hAnsi="Arial" w:cs="Arial"/>
          <w:sz w:val="24"/>
          <w:szCs w:val="24"/>
        </w:rPr>
        <w:t xml:space="preserve"> ΠΟΥ ΤΡΟΠΟΠΟΙΕΙ ΤΟΥΣ ΠΕΡΙ ΜΗΧΑΝΟΚΙΝΗΤΩΝ ΟΧΗΜΑΤΩΝ</w:t>
      </w:r>
    </w:p>
    <w:p w14:paraId="48D6326F" w14:textId="713B3CD9" w:rsidR="00F84B45" w:rsidRPr="00F84B45" w:rsidRDefault="00F84B45" w:rsidP="00F84B45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4E3E">
        <w:rPr>
          <w:rFonts w:ascii="Arial" w:eastAsia="Times New Roman" w:hAnsi="Arial" w:cs="Arial"/>
          <w:sz w:val="24"/>
          <w:szCs w:val="24"/>
        </w:rPr>
        <w:t xml:space="preserve">ΚΑΙ ΤΡΟΧΑΙΑΣ ΚΙΝΗΣΕΩΣ ΝΟΜΟΥΣ ΤΟΥ 1972 ΕΩΣ (ΑΡ. </w:t>
      </w:r>
      <w:r w:rsidRPr="00F84B45">
        <w:rPr>
          <w:rFonts w:ascii="Arial" w:eastAsia="Times New Roman" w:hAnsi="Arial" w:cs="Arial"/>
          <w:sz w:val="24"/>
          <w:szCs w:val="24"/>
        </w:rPr>
        <w:t>2</w:t>
      </w:r>
      <w:r w:rsidRPr="002A4E3E">
        <w:rPr>
          <w:rFonts w:ascii="Arial" w:eastAsia="Times New Roman" w:hAnsi="Arial" w:cs="Arial"/>
          <w:sz w:val="24"/>
          <w:szCs w:val="24"/>
        </w:rPr>
        <w:t>) ΤΟΥ 20</w:t>
      </w:r>
      <w:r w:rsidRPr="00F84B45">
        <w:rPr>
          <w:rFonts w:ascii="Arial" w:eastAsia="Times New Roman" w:hAnsi="Arial" w:cs="Arial"/>
          <w:sz w:val="24"/>
          <w:szCs w:val="24"/>
        </w:rPr>
        <w:t>20</w:t>
      </w:r>
    </w:p>
    <w:p w14:paraId="5C599C1F" w14:textId="77777777" w:rsidR="00F84B45" w:rsidRDefault="00F84B45" w:rsidP="00F84B45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4C73C42" w14:textId="01435DC0" w:rsidR="00F84B45" w:rsidRDefault="00387821" w:rsidP="006767AC">
      <w:pPr>
        <w:spacing w:after="0" w:line="480" w:lineRule="auto"/>
        <w:ind w:left="2268" w:hanging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84B45">
        <w:rPr>
          <w:rFonts w:ascii="Arial" w:eastAsia="Times New Roman" w:hAnsi="Arial" w:cs="Arial"/>
          <w:sz w:val="24"/>
          <w:szCs w:val="24"/>
        </w:rPr>
        <w:t>Η Βουλή των Αντιπροσώπων ψηφίζει ως ακολούθως:</w:t>
      </w:r>
    </w:p>
    <w:p w14:paraId="1A5F9881" w14:textId="77777777" w:rsidR="00F84B45" w:rsidRPr="002A4E3E" w:rsidRDefault="00F84B45" w:rsidP="00331B65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0"/>
        <w:gridCol w:w="2334"/>
        <w:gridCol w:w="5244"/>
      </w:tblGrid>
      <w:tr w:rsidR="00F84B45" w:rsidRPr="002A4E3E" w14:paraId="34C4EB9E" w14:textId="77777777" w:rsidTr="00F646A5">
        <w:tc>
          <w:tcPr>
            <w:tcW w:w="1985" w:type="dxa"/>
          </w:tcPr>
          <w:p w14:paraId="606A4F53" w14:textId="77777777" w:rsidR="00F84B45" w:rsidRPr="002A4E3E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Συνοπτικός </w:t>
            </w:r>
          </w:p>
          <w:p w14:paraId="69720169" w14:textId="77777777" w:rsidR="00F84B45" w:rsidRPr="002A4E3E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τίτλος.</w:t>
            </w:r>
          </w:p>
          <w:p w14:paraId="55AD065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86 του 1972</w:t>
            </w:r>
          </w:p>
          <w:p w14:paraId="69D81DD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37 του 1974</w:t>
            </w:r>
          </w:p>
          <w:p w14:paraId="22FE188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58 του 1976</w:t>
            </w:r>
          </w:p>
          <w:p w14:paraId="08FFAED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20 του 1978</w:t>
            </w:r>
          </w:p>
          <w:p w14:paraId="53E31FA2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64 του 1978</w:t>
            </w:r>
          </w:p>
          <w:p w14:paraId="4B41662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72 του 1981</w:t>
            </w:r>
          </w:p>
          <w:p w14:paraId="26F92AB5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83 του 1983</w:t>
            </w:r>
          </w:p>
          <w:p w14:paraId="3FE8263D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75 του 1984</w:t>
            </w:r>
          </w:p>
          <w:p w14:paraId="480FCCC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72 του 1985</w:t>
            </w:r>
          </w:p>
          <w:p w14:paraId="212EAC61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134 του 1989</w:t>
            </w:r>
          </w:p>
          <w:p w14:paraId="1697DBC9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152 του 1991</w:t>
            </w:r>
          </w:p>
          <w:p w14:paraId="5AD759A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241 του 1991</w:t>
            </w:r>
          </w:p>
          <w:p w14:paraId="12964464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44(Ι) του 1992</w:t>
            </w:r>
          </w:p>
          <w:p w14:paraId="29CA6E12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5(Ι) του 1993</w:t>
            </w:r>
          </w:p>
          <w:p w14:paraId="55ED75C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28(Ι) του 1993</w:t>
            </w:r>
          </w:p>
          <w:p w14:paraId="11CCAAA4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49(Ι) του 1994</w:t>
            </w:r>
          </w:p>
          <w:p w14:paraId="73BB0A66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5(Ι) του 1996</w:t>
            </w:r>
          </w:p>
          <w:p w14:paraId="698AED6D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45(Ι) του 1996</w:t>
            </w:r>
          </w:p>
          <w:p w14:paraId="11C370E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95(Ι) του 1996</w:t>
            </w:r>
          </w:p>
          <w:p w14:paraId="11CEFC8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56(Ι) του 1998</w:t>
            </w:r>
          </w:p>
          <w:p w14:paraId="4CBA79C5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1(Ι) του 1999</w:t>
            </w:r>
          </w:p>
          <w:p w14:paraId="28DE5349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18(Ι) του 1999</w:t>
            </w:r>
          </w:p>
          <w:p w14:paraId="742DCD64" w14:textId="4C75498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66(</w:t>
            </w:r>
            <w:r w:rsidR="007E5DD9">
              <w:rPr>
                <w:rFonts w:ascii="Arial" w:eastAsia="Times New Roman" w:hAnsi="Arial" w:cs="Arial"/>
                <w:sz w:val="24"/>
                <w:szCs w:val="24"/>
              </w:rPr>
              <w:t>Ι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1999</w:t>
            </w:r>
          </w:p>
          <w:p w14:paraId="1C2D662C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117(Ι) του 1999</w:t>
            </w:r>
          </w:p>
          <w:p w14:paraId="14B56EBE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61(Ι) του 2000</w:t>
            </w:r>
          </w:p>
          <w:p w14:paraId="0F6630D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80(Ι) του 2000</w:t>
            </w:r>
          </w:p>
          <w:p w14:paraId="5E6B6178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81(Ι) του 2000</w:t>
            </w:r>
          </w:p>
          <w:p w14:paraId="5887247D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110(Ι) του 2000</w:t>
            </w:r>
          </w:p>
          <w:p w14:paraId="538FBED4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38(Ι) του 2001</w:t>
            </w:r>
          </w:p>
          <w:p w14:paraId="4C98A8AD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98(Ι) του 2001</w:t>
            </w:r>
          </w:p>
          <w:p w14:paraId="178BD0A3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20(Ι) του 2002</w:t>
            </w:r>
          </w:p>
          <w:p w14:paraId="69CFC43F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237(Ι) του 2002</w:t>
            </w:r>
          </w:p>
          <w:p w14:paraId="62A8863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146(Ι) του 2003</w:t>
            </w:r>
          </w:p>
          <w:p w14:paraId="7631EA4E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174(Ι) του 2003</w:t>
            </w:r>
          </w:p>
          <w:p w14:paraId="73F6BBF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243(Ι) του 2004</w:t>
            </w:r>
          </w:p>
          <w:p w14:paraId="5B965995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255(Ι) του 2004</w:t>
            </w:r>
          </w:p>
          <w:p w14:paraId="31F79B65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270(Ι) του 2004</w:t>
            </w:r>
          </w:p>
          <w:p w14:paraId="03114B9C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153(Ι) του 2005</w:t>
            </w:r>
          </w:p>
          <w:p w14:paraId="498E51F3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6(Ι) του 2006</w:t>
            </w:r>
          </w:p>
          <w:p w14:paraId="73EAAC8C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71(Ι) του 2006</w:t>
            </w:r>
          </w:p>
          <w:p w14:paraId="0CEA5C7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145(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2006</w:t>
            </w:r>
          </w:p>
          <w:p w14:paraId="15EA0066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107(Ι) του 2007</w:t>
            </w:r>
          </w:p>
          <w:p w14:paraId="4D1E014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5(Ι) του 2008</w:t>
            </w:r>
          </w:p>
          <w:p w14:paraId="1322D6EF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102(Ι) του 2008</w:t>
            </w:r>
          </w:p>
          <w:p w14:paraId="3A9C4AC4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113(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2009</w:t>
            </w:r>
          </w:p>
          <w:p w14:paraId="18ED2709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5(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2010</w:t>
            </w:r>
          </w:p>
          <w:p w14:paraId="5CFF31F9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8(Ι) του 2010</w:t>
            </w:r>
          </w:p>
          <w:p w14:paraId="452D1604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93(Ι) του 2011</w:t>
            </w:r>
          </w:p>
          <w:p w14:paraId="6DB27B41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109(Ι) του 2012</w:t>
            </w:r>
          </w:p>
          <w:p w14:paraId="732F6AB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166(Ι) του 2012</w:t>
            </w:r>
          </w:p>
          <w:p w14:paraId="7D1DE34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100(Ι) του 2013</w:t>
            </w:r>
          </w:p>
          <w:p w14:paraId="7EA594F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1(Ι) του 2014</w:t>
            </w:r>
          </w:p>
          <w:p w14:paraId="315127D8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11(Ι) του 2014</w:t>
            </w:r>
          </w:p>
          <w:p w14:paraId="11724809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121(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2014</w:t>
            </w:r>
          </w:p>
          <w:p w14:paraId="68424E72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143(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2014</w:t>
            </w:r>
          </w:p>
          <w:p w14:paraId="52C848B3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172(Ι) του 2014</w:t>
            </w:r>
          </w:p>
          <w:p w14:paraId="6899DA55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189(Ι) του 2014</w:t>
            </w:r>
          </w:p>
          <w:p w14:paraId="7159F0E0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10(Ι) του 2015</w:t>
            </w:r>
          </w:p>
          <w:p w14:paraId="227AC733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24(Ι) του 2015</w:t>
            </w:r>
          </w:p>
          <w:p w14:paraId="5B38B2E3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29(Ι) του 2015</w:t>
            </w:r>
          </w:p>
          <w:p w14:paraId="2933939F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1(Ι) του 2016</w:t>
            </w:r>
          </w:p>
          <w:p w14:paraId="3AB2F67B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12(Ι) του 2016</w:t>
            </w:r>
          </w:p>
          <w:p w14:paraId="7EA69D9A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14(Ι) του 2016</w:t>
            </w:r>
          </w:p>
          <w:p w14:paraId="58F923BD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103(Ι) του 2017</w:t>
            </w:r>
          </w:p>
          <w:p w14:paraId="68DD012B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8(Ι) του 2018</w:t>
            </w:r>
          </w:p>
          <w:p w14:paraId="0182C3F7" w14:textId="77777777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93(Ι) του 2018</w:t>
            </w:r>
          </w:p>
          <w:p w14:paraId="10A47914" w14:textId="77777777" w:rsidR="00F84B45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154(</w:t>
            </w:r>
            <w:r w:rsidRPr="002A4E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2018</w:t>
            </w:r>
          </w:p>
          <w:p w14:paraId="10C5BD66" w14:textId="77777777" w:rsidR="00F84B45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47(Ι) του 2019</w:t>
            </w:r>
          </w:p>
          <w:p w14:paraId="0CFFBBD3" w14:textId="77777777" w:rsidR="00F84B45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61(Ι) του 2019</w:t>
            </w:r>
          </w:p>
          <w:p w14:paraId="22CD5BE6" w14:textId="77777777" w:rsidR="00F84B45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146(Ι) του 2019</w:t>
            </w:r>
          </w:p>
          <w:p w14:paraId="151E4E50" w14:textId="3EC66435" w:rsidR="00F84B45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105(I)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του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49D54D9A" w14:textId="7DC18148" w:rsidR="00F84B45" w:rsidRPr="002A4E3E" w:rsidRDefault="00F84B45" w:rsidP="00F646A5">
            <w:pPr>
              <w:tabs>
                <w:tab w:val="left" w:pos="2056"/>
              </w:tabs>
              <w:spacing w:after="0" w:line="480" w:lineRule="auto"/>
              <w:ind w:right="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129(I)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του 2020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170EFB21" w14:textId="106783B2" w:rsidR="00F84B45" w:rsidRPr="002A4E3E" w:rsidRDefault="00F84B45" w:rsidP="006767AC">
            <w:pPr>
              <w:tabs>
                <w:tab w:val="left" w:pos="290"/>
              </w:tabs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  <w:r w:rsidR="0038782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6767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Ο παρών Νόμος θα αναφέρεται ως ο περί Μηχανοκινήτων Οχημάτων και Τροχαίας Κινήσεως (Τροποποιητικός)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Νόμος του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E5D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 και θα διαβάζεται μαζί με τους περί Μηχανοκινήτων Οχημάτων και Τροχαίας Κινήσεως Νόμους του 1972 έως (</w:t>
            </w:r>
            <w:proofErr w:type="spellStart"/>
            <w:r w:rsidRPr="002A4E3E">
              <w:rPr>
                <w:rFonts w:ascii="Arial" w:eastAsia="Times New Roman" w:hAnsi="Arial" w:cs="Arial"/>
                <w:sz w:val="24"/>
                <w:szCs w:val="24"/>
              </w:rPr>
              <w:t>Αρ</w:t>
            </w:r>
            <w:proofErr w:type="spellEnd"/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του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 (που στο εξής θα αναφέρονται ως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ο βασικός νόμος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) και ο βασικός νόμος και ο παρών Νόμος θα αναφέρονται μαζί ως οι περί Μηχανοκινήτων Οχημάτων και Τροχαίας Κινήσεως Νόμοι του 1972 έως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E5DD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84B45" w:rsidRPr="002A4E3E" w14:paraId="51342894" w14:textId="77777777" w:rsidTr="00F646A5">
        <w:tc>
          <w:tcPr>
            <w:tcW w:w="1985" w:type="dxa"/>
          </w:tcPr>
          <w:p w14:paraId="018FE2F2" w14:textId="77777777" w:rsidR="00F84B45" w:rsidRPr="002A4E3E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8020987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B45" w:rsidRPr="002A4E3E" w14:paraId="24C275E1" w14:textId="77777777" w:rsidTr="00F646A5">
        <w:tc>
          <w:tcPr>
            <w:tcW w:w="1985" w:type="dxa"/>
          </w:tcPr>
          <w:p w14:paraId="0D14FA25" w14:textId="77777777" w:rsidR="005D2D0A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Τροποποίηση του βασικού νόμου με την προσθήκη </w:t>
            </w:r>
          </w:p>
          <w:p w14:paraId="780BE367" w14:textId="15202415" w:rsidR="007E5DD9" w:rsidRDefault="005D2D0A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του </w:t>
            </w:r>
            <w:r w:rsidR="00F84B45">
              <w:rPr>
                <w:rFonts w:ascii="Arial" w:eastAsia="Times New Roman" w:hAnsi="Arial" w:cs="Arial"/>
                <w:sz w:val="24"/>
                <w:szCs w:val="24"/>
              </w:rPr>
              <w:t xml:space="preserve">νέου </w:t>
            </w:r>
          </w:p>
          <w:p w14:paraId="5905A55F" w14:textId="4A92AD37" w:rsidR="00F84B45" w:rsidRPr="002A4E3E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ά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ρθρου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48A60960" w14:textId="55AD5ED8" w:rsidR="00F84B45" w:rsidRPr="002A4E3E" w:rsidRDefault="00F84B45" w:rsidP="00F646A5">
            <w:pPr>
              <w:spacing w:after="0" w:line="480" w:lineRule="auto"/>
              <w:ind w:left="6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ab/>
              <w:t>Ο βασικός νόμος τροποποιείται με την προσθήκη</w:t>
            </w:r>
            <w:r w:rsidR="00331B6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αμέσως 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μετά το άρθρο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1B6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 xml:space="preserve"> του ακόλουθου νέου άρθρου:</w:t>
            </w:r>
          </w:p>
        </w:tc>
      </w:tr>
      <w:tr w:rsidR="00F84B45" w:rsidRPr="002A4E3E" w14:paraId="086BE9CD" w14:textId="77777777" w:rsidTr="00F646A5">
        <w:tc>
          <w:tcPr>
            <w:tcW w:w="1985" w:type="dxa"/>
          </w:tcPr>
          <w:p w14:paraId="5330EF96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6425D6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left w:val="nil"/>
            </w:tcBorders>
          </w:tcPr>
          <w:p w14:paraId="780C3C22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B45" w:rsidRPr="002A4E3E" w14:paraId="1E31F74A" w14:textId="77777777" w:rsidTr="00F646A5">
        <w:tc>
          <w:tcPr>
            <w:tcW w:w="1985" w:type="dxa"/>
          </w:tcPr>
          <w:p w14:paraId="2EF52448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7DAA96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4DD7271C" w14:textId="77777777" w:rsidR="009D4705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«Ειδική διάταξη </w:t>
            </w:r>
          </w:p>
          <w:p w14:paraId="411B227B" w14:textId="4D90FA17" w:rsidR="00584CA8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για </w:t>
            </w:r>
            <w:r w:rsidR="00886BF0">
              <w:rPr>
                <w:rFonts w:ascii="Arial" w:eastAsia="Times New Roman" w:hAnsi="Arial" w:cs="Arial"/>
                <w:sz w:val="24"/>
                <w:szCs w:val="24"/>
              </w:rPr>
              <w:t>απαγόρευση οδήγησης μηχανοκίνητου οχήματος το οποίο έχει υποστεί</w:t>
            </w:r>
            <w:r w:rsidR="007E5DD9">
              <w:rPr>
                <w:rFonts w:ascii="Arial" w:eastAsia="Times New Roman" w:hAnsi="Arial" w:cs="Arial"/>
                <w:sz w:val="24"/>
                <w:szCs w:val="24"/>
              </w:rPr>
              <w:t xml:space="preserve"> μη επιτρεπόμενη </w:t>
            </w:r>
            <w:r w:rsidR="00886BF0">
              <w:rPr>
                <w:rFonts w:ascii="Arial" w:eastAsia="Times New Roman" w:hAnsi="Arial" w:cs="Arial"/>
                <w:sz w:val="24"/>
                <w:szCs w:val="24"/>
              </w:rPr>
              <w:t>μετατροπή κατά τρόπο ώστε να προκαλεί ηχορύπανση</w:t>
            </w:r>
            <w:r w:rsidR="00584C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886BF0">
              <w:rPr>
                <w:rFonts w:ascii="Arial" w:eastAsia="Times New Roman" w:hAnsi="Arial" w:cs="Arial"/>
                <w:sz w:val="24"/>
                <w:szCs w:val="24"/>
              </w:rPr>
              <w:t>οχληρία</w:t>
            </w:r>
            <w:proofErr w:type="spellEnd"/>
            <w:r w:rsidR="007E5DD9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r w:rsidR="007E5D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ρύπανση της ατμόσφαιρας </w:t>
            </w:r>
          </w:p>
          <w:p w14:paraId="1B5425DC" w14:textId="77777777" w:rsidR="00584CA8" w:rsidRDefault="007E5DD9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από τις μη ελεγχόμενες εκπομπές </w:t>
            </w:r>
          </w:p>
          <w:p w14:paraId="04BC1413" w14:textId="49068CCB" w:rsidR="00F84B45" w:rsidRDefault="007E5DD9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ρύπων στην ατμόσφαιρα</w:t>
            </w:r>
            <w:r w:rsidR="00886BF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905FA76" w14:textId="7A8BFB6C" w:rsidR="00584CA8" w:rsidRPr="002A4E3E" w:rsidRDefault="00584CA8" w:rsidP="00540B50">
            <w:pPr>
              <w:spacing w:after="0" w:line="480" w:lineRule="auto"/>
              <w:ind w:right="56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65663CA8" w14:textId="2E36997E" w:rsidR="00F84B45" w:rsidRPr="00BE1004" w:rsidRDefault="00F84B45" w:rsidP="00B36170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  <w:r w:rsidRPr="002A4E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-(1)  </w:t>
            </w:r>
            <w:r w:rsidR="00331B65">
              <w:rPr>
                <w:rFonts w:ascii="Arial" w:eastAsia="Times New Roman" w:hAnsi="Arial" w:cs="Arial"/>
                <w:sz w:val="24"/>
                <w:szCs w:val="24"/>
              </w:rPr>
              <w:t>Α</w:t>
            </w:r>
            <w:r w:rsidR="00886BF0">
              <w:rPr>
                <w:rFonts w:ascii="Arial" w:eastAsia="Times New Roman" w:hAnsi="Arial" w:cs="Arial"/>
                <w:sz w:val="24"/>
                <w:szCs w:val="24"/>
              </w:rPr>
              <w:t xml:space="preserve">παγορεύεται η οδήγηση μηχανοκίνητου οχήματος το οποίο έχει υποστεί αλλαγή ή μετατροπή 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κατά τρόπο ώστε τα εκπεμπόμενα από τη μηχανή αέρια να διαφεύγουν στην ατμόσφαιρα χωρίς ή πριν να διέλθουν από σιγαστήρα ή θάλαμο διαστολής ή άλλης συσκευής κατάλληλης και επαρκούς για τη μείωση του θορύβου ή της έντασης του ήχου ή από το οποίο έχει αφαιρεθεί ο καταλυτικός μετατροπέας </w:t>
            </w:r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>ή</w:t>
            </w:r>
            <w:r w:rsidR="00331B65">
              <w:rPr>
                <w:rFonts w:ascii="Arial" w:eastAsia="SimSun" w:hAnsi="Arial" w:cs="Arial"/>
                <w:sz w:val="24"/>
                <w:szCs w:val="24"/>
                <w:lang w:eastAsia="zh-CN"/>
              </w:rPr>
              <w:t>/</w:t>
            </w:r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και το φίλτρο σωματιδίων </w:t>
            </w:r>
            <w:r w:rsidR="00584CA8" w:rsidRP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>αιθάλης</w:t>
            </w:r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πετρελαίου 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στο σύστημα εξαγωγής καυσαερίων ή </w:t>
            </w:r>
            <w:r w:rsidR="00331B65">
              <w:rPr>
                <w:rFonts w:ascii="Arial" w:eastAsia="SimSun" w:hAnsi="Arial" w:cs="Arial"/>
                <w:sz w:val="24"/>
                <w:szCs w:val="24"/>
                <w:lang w:eastAsia="zh-CN"/>
              </w:rPr>
              <w:t>οπ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οιοδήποτε εξάρτημα συναφές ή συνδεδεμένο με τον καταλυτικό μετατροπέα </w:t>
            </w:r>
            <w:bookmarkStart w:id="0" w:name="_Hlk45187888"/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>που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έχει υποστεί </w:t>
            </w:r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μη επιτρεπόμενη 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μετατροπή με αποτέλεσμα αυτή να είναι θορυβώδης πέραν των ορίων εκπομπής ήχου του κατασκευαστή του</w:t>
            </w:r>
            <w:bookmarkEnd w:id="0"/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ή του ανώτατου επιτρεπόμενου ορίου θορύβου που καθορίζεται </w:t>
            </w:r>
            <w:r w:rsidR="00331B6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δυνάμει των προνοιών</w:t>
            </w:r>
            <w:r w:rsidR="00886BF0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της δεύτερης επιφύλαξης της παραγράφου (17) του Κανονισμού 50</w:t>
            </w:r>
            <w:r w:rsidR="00584CA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των περί Μηχανοκινήτων Οχημάτων και Τροχαίας Κινήσεως Κανονισμών</w:t>
            </w:r>
            <w:r w:rsidR="00886BF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BE1004" w:rsidRPr="002A4E3E" w14:paraId="5A0ADC36" w14:textId="77777777" w:rsidTr="00F646A5">
        <w:tc>
          <w:tcPr>
            <w:tcW w:w="1985" w:type="dxa"/>
          </w:tcPr>
          <w:p w14:paraId="30F3BACA" w14:textId="77777777" w:rsidR="00BE1004" w:rsidRPr="002A4E3E" w:rsidRDefault="00BE1004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151AD8E" w14:textId="77777777" w:rsidR="00BE1004" w:rsidRPr="002A4E3E" w:rsidRDefault="00BE1004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057BE6B9" w14:textId="77777777" w:rsidR="00BE1004" w:rsidRDefault="00BE1004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D4EFB47" w14:textId="77777777" w:rsidR="00BE1004" w:rsidRPr="00F84B45" w:rsidRDefault="00BE1004" w:rsidP="00F84B45">
            <w:pPr>
              <w:widowControl w:val="0"/>
              <w:tabs>
                <w:tab w:val="left" w:pos="567"/>
              </w:tabs>
              <w:spacing w:after="0" w:line="480" w:lineRule="auto"/>
              <w:ind w:lef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E1004" w:rsidRPr="002A4E3E" w14:paraId="58EFA196" w14:textId="77777777" w:rsidTr="00F646A5">
        <w:tc>
          <w:tcPr>
            <w:tcW w:w="1985" w:type="dxa"/>
          </w:tcPr>
          <w:p w14:paraId="2B94D9D6" w14:textId="77777777" w:rsidR="00BE1004" w:rsidRPr="002A4E3E" w:rsidRDefault="00BE1004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75AD07" w14:textId="77777777" w:rsidR="00BE1004" w:rsidRPr="002A4E3E" w:rsidRDefault="00BE1004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7CED884E" w14:textId="77777777" w:rsidR="00BE1004" w:rsidRDefault="00BE1004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7BA78F" w14:textId="65E9EF52" w:rsidR="00540B50" w:rsidRDefault="00540B50" w:rsidP="00540B50">
            <w:pPr>
              <w:spacing w:after="0" w:line="480" w:lineRule="auto"/>
              <w:ind w:right="28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108(Ι) του 2010.</w:t>
            </w:r>
          </w:p>
        </w:tc>
        <w:tc>
          <w:tcPr>
            <w:tcW w:w="5244" w:type="dxa"/>
            <w:tcBorders>
              <w:left w:val="nil"/>
            </w:tcBorders>
          </w:tcPr>
          <w:p w14:paraId="13D7CD67" w14:textId="37BABB2C" w:rsidR="00BE1004" w:rsidRPr="00F84B45" w:rsidRDefault="00BE1004" w:rsidP="00BE1004">
            <w:pPr>
              <w:widowControl w:val="0"/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>(2) Μ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έλος της Αστυνομίας ή Επόπτης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 οποίος </w:t>
            </w:r>
            <w:r w:rsidR="00B71A3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ορίζεται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δυνάμει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των διατάξεων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του άρθρου 3 του περί των Εποπτών Οδικών Μεταφορών (Εξουσίες και Ευθύνες) Νόμου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ή άλλο εξουσιοδοτημένο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δυνάμει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νόμο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υ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πρόσωπο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το οποίο διαπιστώνει ότι πρόσωπο οδηγεί μηχανοκίνητο όχημα κατά παράβαση των διατάξεων του εδαφίου (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)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δύναται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να καλέσει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με </w:t>
            </w:r>
            <w:proofErr w:type="spellStart"/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διπλοσυστημένη</w:t>
            </w:r>
            <w:proofErr w:type="spellEnd"/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επιστολή ή με παράδοση επιστολής επί τόπου,</w:t>
            </w:r>
            <w:r w:rsidR="00EA791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τον ιδιοκτήτη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ή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τον οδηγό ή άλλο πρόσωπο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το οποίο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έχει την ευθύνη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τον έλεγχο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ή κατοχή του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μηχανοκίνητου οχήματος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, το σύστημα εξαγωγής καυσαερίων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του οποίου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έχει υποστεί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μη επιτρεπόμενη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μετατροπή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, για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να το ακινητοποιήσει ή μεριμνήσει να το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ακινητοποιήσει και να το μεταφέρει</w:t>
            </w:r>
            <w:r w:rsidR="003640B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εντός εύλογου χρονικού διαστήματος,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καθοριζομένου στην πιο πάνω αναφερόμενη επιστολή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σε κατάλληλο κατά την κρίση του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Εφόρου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χώρο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ή σε </w:t>
            </w:r>
            <w:proofErr w:type="spellStart"/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αδειοδοτημένο</w:t>
            </w:r>
            <w:proofErr w:type="spellEnd"/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C169F5">
              <w:rPr>
                <w:rFonts w:ascii="Arial" w:eastAsia="SimSun" w:hAnsi="Arial" w:cs="Arial"/>
                <w:sz w:val="24"/>
                <w:szCs w:val="24"/>
                <w:lang w:eastAsia="zh-CN"/>
              </w:rPr>
              <w:t>ιδιωτικό κέντρο τεχνικού ελέγχου οχημάτων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επιλογής του ιδιοκτήτη του μηχανοκίνητου </w:t>
            </w:r>
            <w:r w:rsidR="00B71A32">
              <w:rPr>
                <w:rFonts w:ascii="Arial" w:eastAsia="SimSun" w:hAnsi="Arial" w:cs="Arial"/>
                <w:sz w:val="24"/>
                <w:szCs w:val="24"/>
                <w:lang w:eastAsia="zh-CN"/>
              </w:rPr>
              <w:t>οχήματος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προκειμένου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αυτό να τύχει επιθεώρησης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B36170" w:rsidRPr="002A4E3E" w14:paraId="55ECD641" w14:textId="77777777" w:rsidTr="00F646A5">
        <w:tc>
          <w:tcPr>
            <w:tcW w:w="1985" w:type="dxa"/>
          </w:tcPr>
          <w:p w14:paraId="40C94546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47365CD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5A151501" w14:textId="77777777" w:rsidR="00B36170" w:rsidRDefault="00B3617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5D3B5A8" w14:textId="77777777" w:rsidR="00B36170" w:rsidRPr="00F84B45" w:rsidRDefault="00B36170" w:rsidP="00F84B45">
            <w:pPr>
              <w:widowControl w:val="0"/>
              <w:tabs>
                <w:tab w:val="left" w:pos="567"/>
              </w:tabs>
              <w:spacing w:after="0" w:line="480" w:lineRule="auto"/>
              <w:ind w:lef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84B45" w:rsidRPr="002A4E3E" w14:paraId="36BD5077" w14:textId="77777777" w:rsidTr="00F646A5">
        <w:tc>
          <w:tcPr>
            <w:tcW w:w="1985" w:type="dxa"/>
          </w:tcPr>
          <w:p w14:paraId="085B8940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AAD004B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19F0FEE3" w14:textId="77777777" w:rsidR="00F84B45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4D6F0270" w14:textId="22D2F95C" w:rsidR="00F84B45" w:rsidRPr="00B36170" w:rsidRDefault="00B36170" w:rsidP="00B36170">
            <w:pPr>
              <w:widowControl w:val="0"/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(</w:t>
            </w:r>
            <w:r w:rsidR="00BE1004">
              <w:rPr>
                <w:rFonts w:ascii="Arial" w:eastAsia="SimSun" w:hAnsi="Arial" w:cs="Arial"/>
                <w:sz w:val="24"/>
                <w:szCs w:val="24"/>
                <w:lang w:eastAsia="zh-CN"/>
              </w:rPr>
              <w:t>3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Σε περίπτωση </w:t>
            </w:r>
            <w:r w:rsidR="008B798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κατά την οποία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ο ιδιοκτήτης ή ο έχων την ευθύνη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τον έλεγχο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ή την κατοχή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μηχανοκίνητου οχήματος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το οποίο έχει υποστεί την προβλεπόμενη στο</w:t>
            </w:r>
            <w:r w:rsidR="003640B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εδάφιο</w:t>
            </w:r>
            <w:r w:rsidR="003640B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(1)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αλλαγή ή μετατροπή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αρνείται ή παραλείπει να το ακινητοποιήσει άμεσα ή να το μεταφέρει στον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προβλεπόμενο στο εδάφιο (2)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υποδειχθέντα χώρο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εντός εύλογου χρονικού διαστήματος ως αναγράφεται στην επιστολή, 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 όχημα δύναται να μεταφερθεί από μέλος της Αστυνομίας ή Επόπτη ή από άλλο εξουσιοδοτημένο από αυτούς πρόσωπο, σε κατάλληλο κατά την κρίση του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Εφόρου</w:t>
            </w:r>
            <w:r w:rsidR="00F84B45"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χώρο.</w:t>
            </w:r>
          </w:p>
        </w:tc>
      </w:tr>
      <w:tr w:rsidR="00F84B45" w:rsidRPr="002A4E3E" w14:paraId="3B535FE0" w14:textId="77777777" w:rsidTr="00F646A5">
        <w:tc>
          <w:tcPr>
            <w:tcW w:w="1985" w:type="dxa"/>
          </w:tcPr>
          <w:p w14:paraId="7DE887D4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FC7D3" w14:textId="77777777" w:rsidR="00F84B45" w:rsidRPr="002A4E3E" w:rsidRDefault="00F84B45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5E91D493" w14:textId="77777777" w:rsidR="00F84B45" w:rsidRDefault="00F84B45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1B94ECF6" w14:textId="77777777" w:rsidR="00F84B45" w:rsidRPr="002A4E3E" w:rsidRDefault="00F84B45" w:rsidP="00F646A5">
            <w:pPr>
              <w:spacing w:after="0" w:line="480" w:lineRule="auto"/>
              <w:ind w:left="720" w:hanging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0B50" w:rsidRPr="002A4E3E" w14:paraId="2A14E09F" w14:textId="77777777" w:rsidTr="00F646A5">
        <w:tc>
          <w:tcPr>
            <w:tcW w:w="1985" w:type="dxa"/>
          </w:tcPr>
          <w:p w14:paraId="50E6F3BC" w14:textId="77777777" w:rsidR="00540B50" w:rsidRPr="002A4E3E" w:rsidRDefault="00540B5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214B6A" w14:textId="77777777" w:rsidR="00540B50" w:rsidRPr="002A4E3E" w:rsidRDefault="00540B5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6356EC5C" w14:textId="77777777" w:rsidR="00540B50" w:rsidRDefault="00540B5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18B670DF" w14:textId="787CA4DA" w:rsidR="00540B50" w:rsidRDefault="00540B50" w:rsidP="00B36170">
            <w:pPr>
              <w:widowControl w:val="0"/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 xml:space="preserve">(4)  Σε περίπτωση κατά την οποία αποδειχθεί κατά την επιθεώρηση οχήματος ότι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αυτό έχει υποστεί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αλλαγή ή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μετατροπή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όπως αυτή περιγράφεται στις διατάξεις του εδαφίου (1), ο ιδιοκτήτης ή ο έχων την ευθύνη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τον έλεγχο ή την κατοχή του μηχανοκίνητου οχήματος το επαναφέρει στην κατάσταση την οποία το μηχανοκίνητο όχημα είχε πριν από τη μετατροπή ή την αφαίρεση του καταλυτικού μετατροπέα ή και του φίλτρου σωματιδίων αιθάλης πετρελαίου, αναλόγως της περιστάσεως και στη μηχανική κατάσταση την οποία προβλέπουν οι διατάξεις του παρόντος Νόμου και οι πρόνοιες των δυνάμει αυτού εκδιδόμενων Κανονισμών.  </w:t>
            </w:r>
          </w:p>
        </w:tc>
      </w:tr>
      <w:tr w:rsidR="00540B50" w:rsidRPr="002A4E3E" w14:paraId="54477092" w14:textId="77777777" w:rsidTr="00F646A5">
        <w:tc>
          <w:tcPr>
            <w:tcW w:w="1985" w:type="dxa"/>
          </w:tcPr>
          <w:p w14:paraId="096B26B5" w14:textId="77777777" w:rsidR="00540B50" w:rsidRPr="002A4E3E" w:rsidRDefault="00540B5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B89DEE" w14:textId="77777777" w:rsidR="00540B50" w:rsidRPr="002A4E3E" w:rsidRDefault="00540B5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3B8FABCC" w14:textId="77777777" w:rsidR="00540B50" w:rsidRDefault="00540B5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11BE8029" w14:textId="77777777" w:rsidR="00540B50" w:rsidRDefault="00540B50" w:rsidP="00B36170">
            <w:pPr>
              <w:widowControl w:val="0"/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36170" w:rsidRPr="002A4E3E" w14:paraId="1680AE5C" w14:textId="77777777" w:rsidTr="00F646A5">
        <w:tc>
          <w:tcPr>
            <w:tcW w:w="1985" w:type="dxa"/>
          </w:tcPr>
          <w:p w14:paraId="754D2261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2CD715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7243FB72" w14:textId="77777777" w:rsidR="00B36170" w:rsidRDefault="00B3617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351234CF" w14:textId="3BDA6D5D" w:rsidR="00B36170" w:rsidRDefault="00B36170" w:rsidP="00B36170">
            <w:pPr>
              <w:widowControl w:val="0"/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(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5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 Πιστοποιητικό </w:t>
            </w:r>
            <w:proofErr w:type="spellStart"/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Καταλληλότητας</w:t>
            </w:r>
            <w:proofErr w:type="spellEnd"/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 η Άδεια Κυκλοφορίας οχήματος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το οποίο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έχει υποστεί αλλαγή ή μετατροπή, όπως αυτή περιγράφεται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στις </w:t>
            </w:r>
            <w:r w:rsidR="00BF748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διατάξεις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τ</w:t>
            </w:r>
            <w:r w:rsidR="00BF748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ου εδαφίου (1)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αναστέλλ</w:t>
            </w:r>
            <w:r w:rsidR="00BF7482">
              <w:rPr>
                <w:rFonts w:ascii="Arial" w:eastAsia="SimSun" w:hAnsi="Arial" w:cs="Arial"/>
                <w:sz w:val="24"/>
                <w:szCs w:val="24"/>
                <w:lang w:eastAsia="zh-CN"/>
              </w:rPr>
              <w:t>ον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ται και το όχημα απαγορεύεται να οδηγείται μέχρι αυτό να επανέλθει στην κατάσταση στην οποία ευρισκόταν πριν τη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μη επιτρεπόμενη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μετατροπή ή τροποποίηση της μηχανής ή την αφαίρεση του καταλυτικού μετατροπέα 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>ή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/</w:t>
            </w:r>
            <w:r w:rsidR="00540B5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και του φίλτρου σωματιδίων αιθάλης πετρελαίου,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αναλόγως της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>περίπτωσης,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 στη μηχανική κατάσταση την οποία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προβλέπουν οι διατάξεις του παρόντος Νόμου και οι πρόνοιες των δυνάμει αυτού εκδιδόμενων Κανονισμών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 </w:t>
            </w:r>
            <w:r w:rsidR="003640B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να </w:t>
            </w:r>
            <w:r w:rsidR="00BF7482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παρουσιαστεί και ελεγχθεί επιτυχώς από τον </w:t>
            </w:r>
            <w:r w:rsidR="003640B4">
              <w:rPr>
                <w:rFonts w:ascii="Arial" w:eastAsia="SimSun" w:hAnsi="Arial" w:cs="Arial"/>
                <w:sz w:val="24"/>
                <w:szCs w:val="24"/>
                <w:lang w:eastAsia="zh-CN"/>
              </w:rPr>
              <w:t>Έφορο.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36170" w:rsidRPr="002A4E3E" w14:paraId="23C60A5B" w14:textId="77777777" w:rsidTr="00F646A5">
        <w:tc>
          <w:tcPr>
            <w:tcW w:w="1985" w:type="dxa"/>
          </w:tcPr>
          <w:p w14:paraId="422F4EDD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F1570B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64A503E8" w14:textId="77777777" w:rsidR="00B36170" w:rsidRDefault="00B3617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2993BCFD" w14:textId="77777777" w:rsidR="00B36170" w:rsidRDefault="00B36170" w:rsidP="00B36170">
            <w:pPr>
              <w:widowControl w:val="0"/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71A32" w:rsidRPr="002A4E3E" w14:paraId="11371235" w14:textId="77777777" w:rsidTr="00F646A5">
        <w:tc>
          <w:tcPr>
            <w:tcW w:w="1985" w:type="dxa"/>
          </w:tcPr>
          <w:p w14:paraId="3F1F609A" w14:textId="77777777" w:rsidR="00B71A32" w:rsidRPr="002A4E3E" w:rsidRDefault="00B71A32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C9BFA0" w14:textId="77777777" w:rsidR="00B71A32" w:rsidRPr="002A4E3E" w:rsidRDefault="00B71A32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23C92223" w14:textId="77777777" w:rsidR="00B71A32" w:rsidRDefault="00B71A32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62F575A" w14:textId="06A7BC6A" w:rsidR="00B71A32" w:rsidRDefault="00B71A32" w:rsidP="00B71A32">
            <w:pPr>
              <w:widowControl w:val="0"/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 xml:space="preserve">(6)  Σε περίπτωση κατά την οποία όχημα έχει υποστεί μη επιτρεπόμενες μετατροπές και δεν φέρει αριθμούς εγγραφής, η Αστυνομία δύναται να το κατάσχει, </w:t>
            </w:r>
            <w:r w:rsidR="00320B12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δυνάμει των προνοιών των περί Μηχανοκινήτων Οχημάτων και Τροχαίας Κινήσεως Κανονισμών.</w:t>
            </w:r>
          </w:p>
        </w:tc>
      </w:tr>
      <w:tr w:rsidR="00B71A32" w:rsidRPr="002A4E3E" w14:paraId="7134D146" w14:textId="77777777" w:rsidTr="00F646A5">
        <w:tc>
          <w:tcPr>
            <w:tcW w:w="1985" w:type="dxa"/>
          </w:tcPr>
          <w:p w14:paraId="1B21C336" w14:textId="77777777" w:rsidR="00B71A32" w:rsidRPr="002A4E3E" w:rsidRDefault="00B71A32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4AA05E" w14:textId="77777777" w:rsidR="00B71A32" w:rsidRPr="002A4E3E" w:rsidRDefault="00B71A32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3EF7275E" w14:textId="77777777" w:rsidR="00B71A32" w:rsidRDefault="00B71A32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2AAE064F" w14:textId="77777777" w:rsidR="00B71A32" w:rsidRDefault="00B71A32" w:rsidP="005155E1">
            <w:pPr>
              <w:widowControl w:val="0"/>
              <w:tabs>
                <w:tab w:val="left" w:pos="567"/>
                <w:tab w:val="left" w:pos="1275"/>
              </w:tabs>
              <w:spacing w:after="0" w:line="480" w:lineRule="auto"/>
              <w:ind w:left="1275" w:hanging="1275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36170" w:rsidRPr="002A4E3E" w14:paraId="25DAFA2C" w14:textId="77777777" w:rsidTr="00F646A5">
        <w:tc>
          <w:tcPr>
            <w:tcW w:w="1985" w:type="dxa"/>
          </w:tcPr>
          <w:p w14:paraId="076EEA46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1E3EBE" w14:textId="77777777" w:rsidR="00B36170" w:rsidRPr="002A4E3E" w:rsidRDefault="00B36170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3459EB85" w14:textId="77777777" w:rsidR="00B36170" w:rsidRDefault="00B36170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8AD27C0" w14:textId="4EA8F3B6" w:rsidR="00B36170" w:rsidRDefault="00B36170" w:rsidP="005155E1">
            <w:pPr>
              <w:widowControl w:val="0"/>
              <w:tabs>
                <w:tab w:val="left" w:pos="567"/>
                <w:tab w:val="left" w:pos="1275"/>
              </w:tabs>
              <w:spacing w:after="0" w:line="480" w:lineRule="auto"/>
              <w:ind w:left="1275" w:hanging="1275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(</w:t>
            </w:r>
            <w:r w:rsidR="00B71A32">
              <w:rPr>
                <w:rFonts w:ascii="Arial" w:eastAsia="SimSun" w:hAnsi="Arial" w:cs="Arial"/>
                <w:sz w:val="24"/>
                <w:szCs w:val="24"/>
                <w:lang w:eastAsia="zh-CN"/>
              </w:rPr>
              <w:t>7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)</w:t>
            </w:r>
            <w:r w:rsidR="00080389">
              <w:rPr>
                <w:rFonts w:ascii="Arial" w:eastAsia="SimSun" w:hAnsi="Arial" w:cs="Arial"/>
                <w:sz w:val="24"/>
                <w:szCs w:val="24"/>
                <w:lang w:eastAsia="zh-CN"/>
              </w:rPr>
              <w:t>(α)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Π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ρόσωπο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 οποίο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οδηγεί μηχανοκίνητο όχημα κατά παράβαση των διατάξεων </w:t>
            </w:r>
            <w:r w:rsidR="006E1AD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του εδαφίου (1)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είναι ένοχο αδικήματος</w:t>
            </w:r>
            <w:r w:rsidR="006E1AD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="006E1AD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σε περίπτωση καταδίκης του, υπόκειται σε χρηματική ποινή που δεν υπερβαίνει τα χίλια 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>ευρώ (€1.000).</w:t>
            </w:r>
          </w:p>
        </w:tc>
      </w:tr>
      <w:tr w:rsidR="00080389" w:rsidRPr="002A4E3E" w14:paraId="762899D2" w14:textId="77777777" w:rsidTr="00F646A5">
        <w:tc>
          <w:tcPr>
            <w:tcW w:w="1985" w:type="dxa"/>
          </w:tcPr>
          <w:p w14:paraId="52BF6696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CF6C26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1774B79D" w14:textId="77777777" w:rsidR="00080389" w:rsidRDefault="00080389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3B4B249" w14:textId="77777777" w:rsidR="00080389" w:rsidRDefault="00080389" w:rsidP="00B36170">
            <w:pPr>
              <w:widowControl w:val="0"/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080389" w:rsidRPr="002A4E3E" w14:paraId="236E3BD7" w14:textId="77777777" w:rsidTr="00F646A5">
        <w:tc>
          <w:tcPr>
            <w:tcW w:w="1985" w:type="dxa"/>
          </w:tcPr>
          <w:p w14:paraId="5A78D2B5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386083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55DB7DF8" w14:textId="77777777" w:rsidR="00080389" w:rsidRDefault="00080389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607C8103" w14:textId="448E37CA" w:rsidR="00080389" w:rsidRDefault="00080389" w:rsidP="005155E1">
            <w:pPr>
              <w:widowControl w:val="0"/>
              <w:tabs>
                <w:tab w:val="left" w:pos="567"/>
                <w:tab w:val="left" w:pos="850"/>
                <w:tab w:val="left" w:pos="1298"/>
              </w:tabs>
              <w:spacing w:after="0" w:line="480" w:lineRule="auto"/>
              <w:ind w:left="1275" w:hanging="1275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(β)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Π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ρόσωπο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 οποίο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εμποδίζει μέλος της Αστυνομίας ή Επόπτη ή άλλο εξουσιοδοτημένο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δυνάμει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νόμο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υ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πρόσωπο να ασκήσουν τις 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χορηγούμενες 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δυνάμει των διατάξεων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των εδαφίων (2) και (3)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εξουσίες ή αρνείται ή παραλείπει να εκτελέσει τις οδηγίες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>που αναγράφονται στην αναφερόμενη στο εδάφιο (2) επιστολή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σε σχέση με τη μετακίνηση οχήματος, είναι ένοχο αδικήματος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</w:t>
            </w:r>
            <w:r w:rsid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σε περίπτωση καταδίκης του</w:t>
            </w:r>
            <w:r w:rsid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υπόκειται σε ποινή φυλάκισης που δεν υπερβαίνει το ένα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(1) </w:t>
            </w:r>
            <w:r w:rsidR="00C7103D">
              <w:rPr>
                <w:rFonts w:ascii="Arial" w:eastAsia="SimSun" w:hAnsi="Arial" w:cs="Arial"/>
                <w:sz w:val="24"/>
                <w:szCs w:val="24"/>
                <w:lang w:eastAsia="zh-CN"/>
              </w:rPr>
              <w:t>έτος ή σε χρηματική ποινή που δεν υπερβαίνει τις τρεις χιλιάδες ευρώ (€3.000)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 w:rsidRP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ή και στις δύο αυτές ποινές</w:t>
            </w:r>
            <w:r w:rsidR="00C7103D" w:rsidRP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080389" w:rsidRPr="002A4E3E" w14:paraId="1BBEE362" w14:textId="77777777" w:rsidTr="00F646A5">
        <w:tc>
          <w:tcPr>
            <w:tcW w:w="1985" w:type="dxa"/>
          </w:tcPr>
          <w:p w14:paraId="166004FC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CABE566" w14:textId="77777777" w:rsidR="00080389" w:rsidRPr="002A4E3E" w:rsidRDefault="00080389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698C808C" w14:textId="77777777" w:rsidR="00080389" w:rsidRDefault="00080389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4E2C7CDC" w14:textId="2CA6702F" w:rsidR="00080389" w:rsidRDefault="00080389" w:rsidP="00B36170">
            <w:pPr>
              <w:widowControl w:val="0"/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C7103D" w:rsidRPr="002A4E3E" w14:paraId="311B097D" w14:textId="77777777" w:rsidTr="00F646A5">
        <w:tc>
          <w:tcPr>
            <w:tcW w:w="1985" w:type="dxa"/>
          </w:tcPr>
          <w:p w14:paraId="29DACE93" w14:textId="77777777" w:rsidR="00C7103D" w:rsidRPr="002A4E3E" w:rsidRDefault="00C7103D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A33A914" w14:textId="77777777" w:rsidR="00C7103D" w:rsidRPr="002A4E3E" w:rsidRDefault="00C7103D" w:rsidP="00F646A5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</w:tcBorders>
          </w:tcPr>
          <w:p w14:paraId="3AEA4FA3" w14:textId="77777777" w:rsidR="00C7103D" w:rsidRDefault="00C7103D" w:rsidP="00F646A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49FE0538" w14:textId="2D10DE1D" w:rsidR="00C7103D" w:rsidRPr="00F84B45" w:rsidRDefault="00C7103D" w:rsidP="005155E1">
            <w:pPr>
              <w:widowControl w:val="0"/>
              <w:tabs>
                <w:tab w:val="left" w:pos="567"/>
                <w:tab w:val="left" w:pos="1282"/>
              </w:tabs>
              <w:spacing w:after="0" w:line="480" w:lineRule="auto"/>
              <w:ind w:left="1275" w:hanging="1275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 xml:space="preserve">(γ)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Π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ρόσωπο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το οποίο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οδηγεί μηχανοκίνητο όχημα κατά παράβαση των διατάξεων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>των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εδαφί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>ων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(4) </w:t>
            </w:r>
            <w:r w:rsidR="005155E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και (5)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ή ο ιδιοκτήτης ή ο κάτοχος του μηχανοκίνητου οχήματος</w:t>
            </w:r>
            <w:r w:rsidRPr="00F84B45">
              <w:rPr>
                <w:rFonts w:ascii="Arial" w:eastAsia="SimSun" w:hAnsi="Arial" w:cs="Arial"/>
                <w:sz w:val="24"/>
                <w:szCs w:val="24"/>
                <w:lang w:eastAsia="zh-CN"/>
              </w:rPr>
              <w:t>, είναι ένοχο αδικήματος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και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σε περίπτωση καταδίκης του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υπόκειται σε ποινή φυλάκισης που δεν υπερβαίνει τα δύο (2) έτη ή σε χρηματική ποινή που δεν υπερβαίνει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τις έξι χιλιάδες ευρώ (€6.000)</w:t>
            </w:r>
            <w:r w:rsidR="00EA791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EA7915" w:rsidRP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ή και στις δύο αυτές ποινές</w:t>
            </w:r>
            <w:r w:rsidRPr="00A25C4C">
              <w:rPr>
                <w:rFonts w:ascii="Arial" w:eastAsia="SimSun" w:hAnsi="Arial" w:cs="Arial"/>
                <w:sz w:val="24"/>
                <w:szCs w:val="24"/>
                <w:lang w:eastAsia="zh-CN"/>
              </w:rPr>
              <w:t>.».</w:t>
            </w:r>
          </w:p>
        </w:tc>
      </w:tr>
    </w:tbl>
    <w:p w14:paraId="0434A3F2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08A1D3D7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4FA84CC5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43255317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0FFC89E8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3DE8DFDB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286A74F1" w14:textId="77777777" w:rsidR="000D3C4A" w:rsidRDefault="000D3C4A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</w:p>
    <w:p w14:paraId="6806FF10" w14:textId="29E0996B" w:rsidR="00F84B45" w:rsidRDefault="00F84B45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 23.02.0</w:t>
      </w:r>
      <w:r w:rsidR="001B03FB" w:rsidRPr="00AE60BB">
        <w:rPr>
          <w:rFonts w:ascii="Arial" w:hAnsi="Arial" w:cs="Arial"/>
          <w:sz w:val="24"/>
          <w:szCs w:val="24"/>
        </w:rPr>
        <w:t>62.198</w:t>
      </w:r>
      <w:r>
        <w:rPr>
          <w:rFonts w:ascii="Arial" w:hAnsi="Arial" w:cs="Arial"/>
          <w:sz w:val="24"/>
          <w:szCs w:val="24"/>
        </w:rPr>
        <w:t>-202</w:t>
      </w:r>
      <w:r w:rsidR="00B426A7">
        <w:rPr>
          <w:rFonts w:ascii="Arial" w:hAnsi="Arial" w:cs="Arial"/>
          <w:sz w:val="24"/>
          <w:szCs w:val="24"/>
        </w:rPr>
        <w:t>1</w:t>
      </w:r>
    </w:p>
    <w:p w14:paraId="6F73FDB3" w14:textId="4BC7E1A4" w:rsidR="00F84B45" w:rsidRDefault="00B426A7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5155E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</w:t>
      </w:r>
      <w:r w:rsidR="005155E1">
        <w:rPr>
          <w:rFonts w:ascii="Arial" w:hAnsi="Arial" w:cs="Arial"/>
          <w:sz w:val="24"/>
          <w:szCs w:val="24"/>
        </w:rPr>
        <w:t>λείτου</w:t>
      </w:r>
      <w:proofErr w:type="spellEnd"/>
      <w:r w:rsidR="00F84B45">
        <w:rPr>
          <w:rFonts w:ascii="Arial" w:hAnsi="Arial" w:cs="Arial"/>
          <w:sz w:val="24"/>
          <w:szCs w:val="24"/>
        </w:rPr>
        <w:t>/</w:t>
      </w:r>
      <w:r w:rsidR="009B6685">
        <w:rPr>
          <w:rFonts w:ascii="Arial" w:hAnsi="Arial" w:cs="Arial"/>
          <w:sz w:val="24"/>
          <w:szCs w:val="24"/>
        </w:rPr>
        <w:t>ΓΧ</w:t>
      </w:r>
    </w:p>
    <w:p w14:paraId="74385054" w14:textId="3FAEB8AB" w:rsidR="005155E1" w:rsidRDefault="005155E1" w:rsidP="00F84B45">
      <w:pPr>
        <w:tabs>
          <w:tab w:val="left" w:pos="344"/>
        </w:tabs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</w:t>
      </w:r>
    </w:p>
    <w:sectPr w:rsidR="005155E1" w:rsidSect="000D3C4A">
      <w:headerReference w:type="default" r:id="rId7"/>
      <w:headerReference w:type="first" r:id="rId8"/>
      <w:pgSz w:w="11906" w:h="16838"/>
      <w:pgMar w:top="1310" w:right="1138" w:bottom="1702" w:left="113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C2AB" w14:textId="77777777" w:rsidR="00AD27F3" w:rsidRDefault="00AD27F3">
      <w:pPr>
        <w:spacing w:after="0" w:line="240" w:lineRule="auto"/>
      </w:pPr>
      <w:r>
        <w:separator/>
      </w:r>
    </w:p>
  </w:endnote>
  <w:endnote w:type="continuationSeparator" w:id="0">
    <w:p w14:paraId="26392E36" w14:textId="77777777" w:rsidR="00AD27F3" w:rsidRDefault="00A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6A03" w14:textId="77777777" w:rsidR="00AD27F3" w:rsidRDefault="00AD27F3">
      <w:pPr>
        <w:spacing w:after="0" w:line="240" w:lineRule="auto"/>
      </w:pPr>
      <w:r>
        <w:separator/>
      </w:r>
    </w:p>
  </w:footnote>
  <w:footnote w:type="continuationSeparator" w:id="0">
    <w:p w14:paraId="4CEF7455" w14:textId="77777777" w:rsidR="00AD27F3" w:rsidRDefault="00A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795" w14:textId="5ABCEB82" w:rsidR="00BB2FCC" w:rsidRPr="0006493E" w:rsidRDefault="002D6BA8">
    <w:pPr>
      <w:pStyle w:val="Header"/>
      <w:jc w:val="center"/>
      <w:rPr>
        <w:sz w:val="24"/>
        <w:szCs w:val="24"/>
      </w:rPr>
    </w:pPr>
    <w:r w:rsidRPr="0006493E">
      <w:rPr>
        <w:sz w:val="24"/>
        <w:szCs w:val="24"/>
      </w:rPr>
      <w:fldChar w:fldCharType="begin"/>
    </w:r>
    <w:r w:rsidRPr="0006493E">
      <w:rPr>
        <w:sz w:val="24"/>
        <w:szCs w:val="24"/>
      </w:rPr>
      <w:instrText xml:space="preserve"> PAGE   \* MERGEFORMAT </w:instrText>
    </w:r>
    <w:r w:rsidRPr="0006493E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06493E">
      <w:rPr>
        <w:noProof/>
        <w:sz w:val="24"/>
        <w:szCs w:val="24"/>
      </w:rPr>
      <w:fldChar w:fldCharType="end"/>
    </w:r>
  </w:p>
  <w:p w14:paraId="64A18363" w14:textId="77777777" w:rsidR="00BB2FC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9F16" w14:textId="77777777" w:rsidR="00BB2FCC" w:rsidRPr="008E3F21" w:rsidRDefault="00000000" w:rsidP="005A591D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45"/>
    <w:rsid w:val="000701F5"/>
    <w:rsid w:val="00080389"/>
    <w:rsid w:val="000C7FC9"/>
    <w:rsid w:val="000D3C4A"/>
    <w:rsid w:val="00110EFB"/>
    <w:rsid w:val="00146D2B"/>
    <w:rsid w:val="001A6CE5"/>
    <w:rsid w:val="001B03FB"/>
    <w:rsid w:val="001B6EB1"/>
    <w:rsid w:val="001C2336"/>
    <w:rsid w:val="0026192E"/>
    <w:rsid w:val="002D6BA8"/>
    <w:rsid w:val="002E30E2"/>
    <w:rsid w:val="00320B12"/>
    <w:rsid w:val="00331B65"/>
    <w:rsid w:val="003640B4"/>
    <w:rsid w:val="00387821"/>
    <w:rsid w:val="003B74FF"/>
    <w:rsid w:val="00501B9D"/>
    <w:rsid w:val="005155E1"/>
    <w:rsid w:val="00540B50"/>
    <w:rsid w:val="00584CA8"/>
    <w:rsid w:val="005D2D0A"/>
    <w:rsid w:val="00604F0D"/>
    <w:rsid w:val="006767AC"/>
    <w:rsid w:val="006E1AD4"/>
    <w:rsid w:val="007B3E91"/>
    <w:rsid w:val="007E5DD9"/>
    <w:rsid w:val="00886BF0"/>
    <w:rsid w:val="008A65BE"/>
    <w:rsid w:val="008B798D"/>
    <w:rsid w:val="009B6685"/>
    <w:rsid w:val="009D4705"/>
    <w:rsid w:val="009E4FC5"/>
    <w:rsid w:val="00A25C4C"/>
    <w:rsid w:val="00AD27F3"/>
    <w:rsid w:val="00AE60BB"/>
    <w:rsid w:val="00B311DE"/>
    <w:rsid w:val="00B36170"/>
    <w:rsid w:val="00B426A7"/>
    <w:rsid w:val="00B71A32"/>
    <w:rsid w:val="00BE1004"/>
    <w:rsid w:val="00BF7482"/>
    <w:rsid w:val="00C169F5"/>
    <w:rsid w:val="00C7103D"/>
    <w:rsid w:val="00CB2E88"/>
    <w:rsid w:val="00CF506E"/>
    <w:rsid w:val="00D23435"/>
    <w:rsid w:val="00DA0CC1"/>
    <w:rsid w:val="00EA7915"/>
    <w:rsid w:val="00F60DA6"/>
    <w:rsid w:val="00F76745"/>
    <w:rsid w:val="00F811BA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1900"/>
  <w15:chartTrackingRefBased/>
  <w15:docId w15:val="{89B25178-D944-45B0-84D4-B75410F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B4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4B45"/>
    <w:rPr>
      <w:rFonts w:ascii="Arial" w:eastAsia="Times New Roman" w:hAnsi="Arial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E3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82F7-185C-4A75-A791-133247F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THEODORA</dc:creator>
  <cp:keywords/>
  <dc:description/>
  <cp:lastModifiedBy>Gianna Christoforou</cp:lastModifiedBy>
  <cp:revision>21</cp:revision>
  <cp:lastPrinted>2023-06-28T06:52:00Z</cp:lastPrinted>
  <dcterms:created xsi:type="dcterms:W3CDTF">2023-06-26T09:35:00Z</dcterms:created>
  <dcterms:modified xsi:type="dcterms:W3CDTF">2023-07-11T06:24:00Z</dcterms:modified>
</cp:coreProperties>
</file>